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2E" w:rsidRPr="0011482E" w:rsidRDefault="0011482E" w:rsidP="0011482E">
      <w:pPr>
        <w:jc w:val="center"/>
        <w:rPr>
          <w:rFonts w:ascii="Arial" w:eastAsia="宋体" w:hAnsi="Arial" w:cs="Arial"/>
          <w:b/>
          <w:bCs/>
          <w:sz w:val="33"/>
          <w:szCs w:val="33"/>
        </w:rPr>
      </w:pPr>
      <w:r w:rsidRPr="0011482E">
        <w:rPr>
          <w:rFonts w:ascii="Arial" w:eastAsia="宋体" w:hAnsi="Arial" w:cs="Arial"/>
          <w:b/>
          <w:bCs/>
          <w:sz w:val="33"/>
          <w:szCs w:val="33"/>
        </w:rPr>
        <w:t>长江职业学院院系教学管理工作考核实施办法（试行）</w:t>
      </w:r>
    </w:p>
    <w:p w:rsidR="0011482E" w:rsidRDefault="0011482E" w:rsidP="0011482E">
      <w:pPr>
        <w:widowControl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bookmarkStart w:id="0" w:name="_GoBack"/>
      <w:bookmarkEnd w:id="0"/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长职院教〔2011〕13号</w:t>
      </w:r>
    </w:p>
    <w:p w:rsidR="00864F16" w:rsidRPr="00864F16" w:rsidRDefault="00864F16" w:rsidP="0011482E">
      <w:pPr>
        <w:widowControl/>
        <w:spacing w:line="375" w:lineRule="atLeast"/>
        <w:jc w:val="center"/>
        <w:rPr>
          <w:rFonts w:ascii="Verdana" w:eastAsia="宋体" w:hAnsi="Verdana" w:cs="Times New Roman"/>
          <w:color w:val="333333"/>
          <w:szCs w:val="21"/>
        </w:rPr>
      </w:pP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根据《湖北省高等职业院校人才培养工作评估指标体系》的精神，围绕我校建设“特色精品”高职总目标，为使我校教学管理制度完备、规范，执行有力，教学运行平稳有序；按照建设一支管理综合素质较高、管理手段比较先进、服务效果好的教学管理团队的要求，特制订本办法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2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一、考核方式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1、考核每学年开展一次，采取院系自查和学校检查相结合的方式。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2、各院系按照考核指标和细则进行自查并打出相应的分数。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3、学校领导、教务处以及有关处室采用随机检查、期中检查、集中考核等方式进行考核和评分。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4、考核结果在一定范围内公布，作为年终评选先进单位的重要依据。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2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二、考核指标及细则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2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（一）日常教学管理(25分)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1、严格按照学校下达的教学计划组织教学(5分)，未经批准擅自变更教学内容和时间，每次扣1分。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2、认真组织、制定各类教学文件(如学期教学计划、学期考试计划、教学进程计划表等)并按规定时间和格式上报 (5分)，未能按要求执行，每出现一次扣1分。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3、妥善保管各类教学文件与资料(包括教学日志、试题、试卷、教师考核评分表等)(5分)，一种不齐全扣1分。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4、每月上报教学简报、教师酬金申报表，按时提交每学期教学检查自查报告等资料（5分），未能按要求执行，每出现一次扣1分。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5、专职教师教学工作量均达到学校相关要求得5分，未达到要求一人次扣2分。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2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（二）师资队伍建设(10分)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lastRenderedPageBreak/>
        <w:t>1、制定出教师队伍的培训计划并能够按计划执行(4分)，无计划扣4分，计划未落实扣2分。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2、组织教师教学技能活动(2分)，未组织扣2分，参与面没有达到100%扣1分。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3、校外教师的聘请与考核相关资料齐备（2分），一项资料不完整扣1分。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4、校外兼职教师授课比例逐年增加（2分），没有增加扣1分，比例减少扣2分。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2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（三）课程建设 (10分)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left="526"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1、积极督促和落实省、校级精品课程的建设情况（3分），建设项目未完全落实扣3分。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2、积极选用近三年出版的高职规划教材和部、省级获奖教材比例达到80%（2分）。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3、主编或参编并出版了部、省级高职规划教材(2分)，参编一本得0.5分，最多得2分。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4、积极与企业合作开发课程和教材（3分），数量逐年增加得3分，数量没有增加扣2分。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2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（四）教学研究 (15分)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1、坚持开展以教研室为单位的教学研究活动(10分)，参照《教研室工作管理暂行办法》执行。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2、积极申报各级各类教学研究课题并按计划完成(5分)。申报省级以上课题得3分，申报校级课题每项得1分。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2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（五）实践教学(20分)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1、有独立的实践教学计划和实践课表，并按要求严格执行（5分）。没有实践教学计划扣3分，没有实践课表扣2分。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2、实验、实训开出率达到专业人才培养方案要求(5分)。实验、实训开出率达到专业人才培养方案要求100％得5分，90％以上得3分，80％以上得2分，80%以下不得分。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lastRenderedPageBreak/>
        <w:t>3、积极提高校</w:t>
      </w:r>
      <w:proofErr w:type="gramStart"/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内实践</w:t>
      </w:r>
      <w:proofErr w:type="gramEnd"/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场所的利用率（5分）。利用率低于80%扣3分，利用率低于70%扣4分，利用率低于60%扣5分。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4、积极拓展校外实习基地，使每个重点专业校外实习基地达到3个以上，每个其他专业校外实习基地达到2个以上（5分），每个专业少一个校外基地扣0.5分。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2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（六）教学建设与改革（5-15分，这里所有分数都是额外奖励的，具有导向性意义）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1、国家级实训基地申报成功、国家级教学团队申报成功、国家级重点专业申报成功、国家级精品课程申报成功、国家级教学改革试点专业申报成功、国家级其它教学方面的成果或者奖励的得15分；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2、省级实训基地申报成功、省级教学团队申报成功、省级重点专业申报成功、省级精品课程申报成功、省级教学改革试点专业申报成功、省级其它教学方面的成果或者奖励的得10分；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3、校级实训基地申报成功、校级教学团队申报成功、校级重点专业申报成功、校级精品课程申报成功、校级教学改革试点专业申报成功、校级其它教学方面的成果或者奖励的得5分；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4、教学管理创新和教学改革在全国有重要影响或者具有推广意义的得15分；在全省有重要影响或者具有推广意义的得10分；在全校有重要影响或者具有推广意义的得5分。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2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（七）教学质量监控(20分)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1、教学管理干部及专职教师按学校规定完成听课任务（5分）。少一节听课扣1分。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2、严格按照学校有关规定组织对任课教师进行教学考核，各项资料齐全（3分）。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3、未发生各类教学事故(5分)，发生一次一般教学事故扣1分，发生一次严重教学事故扣3分。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4、严格按照考试计划组织考试，监考教师没有出现监考事故，卷面成绩没有出现50%以上不及格（3分）。监考教师出现一次监考事故扣1分，卷面成绩一次不合格扣2分。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5、每学期积极组织、参与学生参加各类专业技能竞赛 (4分)。</w:t>
      </w:r>
    </w:p>
    <w:p w:rsidR="0011482E" w:rsidRPr="0011482E" w:rsidRDefault="0011482E" w:rsidP="0011482E">
      <w:pPr>
        <w:widowControl/>
        <w:spacing w:before="100" w:beforeAutospacing="1" w:after="100" w:afterAutospacing="1" w:line="340" w:lineRule="exact"/>
        <w:ind w:firstLineChars="200" w:firstLine="480"/>
        <w:jc w:val="left"/>
        <w:rPr>
          <w:rFonts w:ascii="Verdana" w:eastAsia="宋体" w:hAnsi="Verdana" w:cs="Times New Roman"/>
          <w:color w:val="333333"/>
          <w:szCs w:val="21"/>
        </w:rPr>
      </w:pPr>
      <w:r w:rsidRPr="0011482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lastRenderedPageBreak/>
        <w:t>以上考核实施办法，自发布之日起实行。</w:t>
      </w:r>
    </w:p>
    <w:p w:rsidR="006C48A7" w:rsidRPr="0011482E" w:rsidRDefault="006C48A7"/>
    <w:sectPr w:rsidR="006C48A7" w:rsidRPr="00114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2E"/>
    <w:rsid w:val="0011482E"/>
    <w:rsid w:val="006C48A7"/>
    <w:rsid w:val="008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831">
          <w:marLeft w:val="0"/>
          <w:marRight w:val="0"/>
          <w:marTop w:val="0"/>
          <w:marBottom w:val="0"/>
          <w:divBdr>
            <w:top w:val="single" w:sz="6" w:space="8" w:color="E1E1E1"/>
            <w:left w:val="single" w:sz="6" w:space="8" w:color="E1E1E1"/>
            <w:bottom w:val="single" w:sz="6" w:space="8" w:color="E1E1E1"/>
            <w:right w:val="single" w:sz="6" w:space="8" w:color="E1E1E1"/>
          </w:divBdr>
          <w:divsChild>
            <w:div w:id="57108291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44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256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</w:div>
                <w:div w:id="66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China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AutoBVT</cp:lastModifiedBy>
  <cp:revision>3</cp:revision>
  <dcterms:created xsi:type="dcterms:W3CDTF">2020-07-20T02:24:00Z</dcterms:created>
  <dcterms:modified xsi:type="dcterms:W3CDTF">2020-07-28T03:57:00Z</dcterms:modified>
</cp:coreProperties>
</file>